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D" w:rsidRDefault="007A2EAD" w:rsidP="00442C00">
      <w:pPr>
        <w:spacing w:line="320" w:lineRule="atLeast"/>
        <w:rPr>
          <w:rFonts w:ascii="Arial" w:hAnsi="Arial"/>
          <w:b/>
          <w:sz w:val="28"/>
          <w:lang w:val="en-AU"/>
        </w:rPr>
      </w:pPr>
      <w:bookmarkStart w:id="0" w:name="_GoBack"/>
      <w:bookmarkEnd w:id="0"/>
      <w:r>
        <w:rPr>
          <w:rFonts w:ascii="Arial" w:hAnsi="Arial"/>
          <w:b/>
          <w:sz w:val="28"/>
          <w:lang w:val="en-AU"/>
        </w:rPr>
        <w:t>ATTACHMENT 3</w:t>
      </w:r>
      <w:r w:rsidRPr="00CC7E15">
        <w:rPr>
          <w:rFonts w:ascii="Arial" w:hAnsi="Arial"/>
          <w:b/>
          <w:sz w:val="28"/>
          <w:lang w:val="en-AU"/>
        </w:rPr>
        <w:t>: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C7E15">
        <w:rPr>
          <w:rFonts w:ascii="Arial" w:hAnsi="Arial"/>
          <w:b/>
          <w:sz w:val="28"/>
          <w:lang w:val="en-AU"/>
        </w:rPr>
        <w:t>Section 117 Directions</w:t>
      </w:r>
    </w:p>
    <w:p w:rsidR="00442C00" w:rsidRPr="00CC7E15" w:rsidRDefault="00442C00" w:rsidP="00442C00">
      <w:pPr>
        <w:spacing w:line="320" w:lineRule="atLeast"/>
        <w:rPr>
          <w:rFonts w:ascii="Arial" w:hAnsi="Arial"/>
          <w:b/>
          <w:sz w:val="28"/>
          <w:lang w:val="en-AU"/>
        </w:rPr>
      </w:pPr>
    </w:p>
    <w:tbl>
      <w:tblPr>
        <w:tblStyle w:val="LightList"/>
        <w:tblW w:w="9781" w:type="dxa"/>
        <w:tblLook w:val="04A0" w:firstRow="1" w:lastRow="0" w:firstColumn="1" w:lastColumn="0" w:noHBand="0" w:noVBand="1"/>
      </w:tblPr>
      <w:tblGrid>
        <w:gridCol w:w="1772"/>
        <w:gridCol w:w="1525"/>
        <w:gridCol w:w="6484"/>
      </w:tblGrid>
      <w:tr w:rsidR="007A2EAD" w:rsidRPr="002E04E8" w:rsidTr="00FD5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Pr="00CC7E15" w:rsidRDefault="007A2EAD" w:rsidP="002236A5">
            <w:pPr>
              <w:spacing w:after="200" w:line="320" w:lineRule="atLeast"/>
              <w:rPr>
                <w:rFonts w:ascii="Arial" w:hAnsi="Arial"/>
                <w:sz w:val="22"/>
                <w:lang w:val="en-AU"/>
              </w:rPr>
            </w:pPr>
            <w:r w:rsidRPr="00CC7E15">
              <w:rPr>
                <w:rFonts w:ascii="Arial" w:hAnsi="Arial"/>
                <w:sz w:val="22"/>
                <w:lang w:val="en-AU"/>
              </w:rPr>
              <w:t>Section 117 Directions</w:t>
            </w:r>
          </w:p>
        </w:tc>
        <w:tc>
          <w:tcPr>
            <w:tcW w:w="0" w:type="auto"/>
          </w:tcPr>
          <w:p w:rsidR="007A2EAD" w:rsidRPr="00CC7E15" w:rsidRDefault="007A2EAD" w:rsidP="002236A5">
            <w:pPr>
              <w:spacing w:after="200"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  <w:lang w:val="en-AU"/>
              </w:rPr>
            </w:pPr>
            <w:r w:rsidRPr="00CC7E15">
              <w:rPr>
                <w:rFonts w:ascii="Arial" w:hAnsi="Arial"/>
                <w:sz w:val="22"/>
                <w:lang w:val="en-AU"/>
              </w:rPr>
              <w:t>Consistency</w:t>
            </w:r>
          </w:p>
        </w:tc>
        <w:tc>
          <w:tcPr>
            <w:tcW w:w="6484" w:type="dxa"/>
          </w:tcPr>
          <w:p w:rsidR="007A2EAD" w:rsidRPr="00CC7E15" w:rsidRDefault="007A2EAD" w:rsidP="002236A5">
            <w:pPr>
              <w:spacing w:after="200"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en-AU"/>
              </w:rPr>
            </w:pPr>
            <w:r w:rsidRPr="00CC7E15">
              <w:rPr>
                <w:rFonts w:ascii="Arial" w:hAnsi="Arial"/>
                <w:sz w:val="22"/>
                <w:lang w:val="en-AU"/>
              </w:rPr>
              <w:t>Comments</w:t>
            </w:r>
          </w:p>
        </w:tc>
      </w:tr>
      <w:tr w:rsidR="007A2EAD" w:rsidRPr="002E04E8" w:rsidTr="00FD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7A2EAD" w:rsidRPr="00DD5F9A" w:rsidRDefault="007A2EAD" w:rsidP="002236A5">
            <w:pPr>
              <w:spacing w:after="200" w:line="320" w:lineRule="atLeast"/>
              <w:rPr>
                <w:rFonts w:ascii="Arial" w:hAnsi="Arial"/>
                <w:sz w:val="18"/>
                <w:szCs w:val="18"/>
                <w:lang w:val="en-AU"/>
              </w:rPr>
            </w:pPr>
            <w:r w:rsidRPr="00DD5F9A">
              <w:rPr>
                <w:rFonts w:ascii="Arial" w:hAnsi="Arial"/>
                <w:i/>
                <w:sz w:val="18"/>
                <w:szCs w:val="18"/>
              </w:rPr>
              <w:t>Employment and Resources</w:t>
            </w:r>
          </w:p>
        </w:tc>
      </w:tr>
      <w:tr w:rsidR="007A2EAD" w:rsidRPr="002E04E8" w:rsidTr="00FD5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Pr="00DD5F9A" w:rsidRDefault="007A2EAD" w:rsidP="007A2EAD">
            <w:pPr>
              <w:pStyle w:val="ListParagraph"/>
              <w:numPr>
                <w:ilvl w:val="1"/>
                <w:numId w:val="2"/>
              </w:numPr>
              <w:spacing w:after="200" w:line="320" w:lineRule="atLeast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  <w:r w:rsidRPr="00DD5F9A">
              <w:rPr>
                <w:rFonts w:ascii="Arial" w:hAnsi="Arial"/>
                <w:b w:val="0"/>
                <w:sz w:val="18"/>
                <w:szCs w:val="18"/>
                <w:lang w:val="en-AU"/>
              </w:rPr>
              <w:t>Business and Commercial</w:t>
            </w: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Pr="00DD5F9A" w:rsidRDefault="007A2EAD" w:rsidP="002236A5">
            <w:pPr>
              <w:pStyle w:val="ListParagraph"/>
              <w:spacing w:after="200" w:line="320" w:lineRule="atLeast"/>
              <w:ind w:left="360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</w:tcPr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 w:rsidRPr="002D301C">
              <w:rPr>
                <w:rFonts w:ascii="Arial" w:hAnsi="Arial"/>
                <w:sz w:val="18"/>
                <w:szCs w:val="18"/>
                <w:lang w:val="en-AU"/>
              </w:rPr>
              <w:t>Consistent</w:t>
            </w: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Pr="002D301C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6484" w:type="dxa"/>
          </w:tcPr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This direction applies when a relevant planning authority prepares a planning proposal that will affect land within an existing or proposed business or industrial zone (including the alteration of any existing business or industrial zone boundary).</w:t>
            </w: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This Planning Proposal does not propose to change to any land use and not propose any controls that would affect land within any business or industrial zone.</w:t>
            </w:r>
          </w:p>
          <w:p w:rsidR="007A2EAD" w:rsidRPr="002D301C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 xml:space="preserve">It is considered the Planning Proposal </w:t>
            </w:r>
            <w:r w:rsidRPr="00CF30ED">
              <w:rPr>
                <w:rFonts w:ascii="Arial" w:hAnsi="Arial"/>
                <w:sz w:val="18"/>
                <w:szCs w:val="18"/>
                <w:lang w:val="en-AU"/>
              </w:rPr>
              <w:t xml:space="preserve">is </w:t>
            </w:r>
            <w:r>
              <w:rPr>
                <w:rFonts w:ascii="Arial" w:hAnsi="Arial"/>
                <w:sz w:val="18"/>
                <w:szCs w:val="18"/>
                <w:lang w:val="en-AU"/>
              </w:rPr>
              <w:t>consistent with this</w:t>
            </w:r>
            <w:r w:rsidRPr="00CF30ED">
              <w:rPr>
                <w:rFonts w:ascii="Arial" w:hAnsi="Arial"/>
                <w:sz w:val="18"/>
                <w:szCs w:val="18"/>
                <w:lang w:val="en-AU"/>
              </w:rPr>
              <w:t xml:space="preserve"> Direction</w:t>
            </w:r>
            <w:r>
              <w:rPr>
                <w:rFonts w:ascii="Arial" w:hAnsi="Arial"/>
                <w:sz w:val="18"/>
                <w:szCs w:val="18"/>
                <w:lang w:val="en-AU"/>
              </w:rPr>
              <w:t>.</w:t>
            </w:r>
          </w:p>
        </w:tc>
      </w:tr>
      <w:tr w:rsidR="007A2EAD" w:rsidRPr="002E04E8" w:rsidTr="00FD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7A2EAD" w:rsidRPr="00DD5F9A" w:rsidRDefault="007A2EAD" w:rsidP="002236A5">
            <w:pPr>
              <w:spacing w:after="200" w:line="320" w:lineRule="atLeast"/>
              <w:rPr>
                <w:rFonts w:ascii="Arial" w:hAnsi="Arial"/>
                <w:i/>
                <w:sz w:val="18"/>
                <w:szCs w:val="18"/>
                <w:lang w:val="en-AU"/>
              </w:rPr>
            </w:pPr>
            <w:r w:rsidRPr="00DD5F9A">
              <w:rPr>
                <w:rFonts w:ascii="Arial" w:hAnsi="Arial"/>
                <w:i/>
                <w:sz w:val="18"/>
                <w:szCs w:val="18"/>
                <w:lang w:val="en-AU"/>
              </w:rPr>
              <w:t xml:space="preserve">Heritage </w:t>
            </w:r>
          </w:p>
        </w:tc>
      </w:tr>
      <w:tr w:rsidR="007A2EAD" w:rsidRPr="002E04E8" w:rsidTr="00FD5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Default="007A2EAD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  <w:r>
              <w:rPr>
                <w:rFonts w:ascii="Arial" w:hAnsi="Arial"/>
                <w:b w:val="0"/>
                <w:sz w:val="18"/>
                <w:szCs w:val="18"/>
                <w:lang w:val="en-AU"/>
              </w:rPr>
              <w:t xml:space="preserve">2.3 </w:t>
            </w:r>
            <w:r w:rsidRPr="00DD5F9A">
              <w:rPr>
                <w:rFonts w:ascii="Arial" w:hAnsi="Arial"/>
                <w:b w:val="0"/>
                <w:sz w:val="18"/>
                <w:szCs w:val="18"/>
                <w:lang w:val="en-AU"/>
              </w:rPr>
              <w:t>Heritage Conservation</w:t>
            </w:r>
          </w:p>
          <w:p w:rsidR="007A2EAD" w:rsidRDefault="007A2EAD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  <w:p w:rsidR="007A2EAD" w:rsidRPr="00DD5F9A" w:rsidRDefault="007A2EAD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</w:tcPr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Consistent</w:t>
            </w: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  <w:p w:rsidR="007A2EAD" w:rsidRPr="00DD5F9A" w:rsidRDefault="007A2EAD" w:rsidP="002236A5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6484" w:type="dxa"/>
          </w:tcPr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This direction is relevant to the Planning Proposal as it proposes to rectify minor changes to three (3) heritage items.</w:t>
            </w:r>
            <w:r w:rsidRPr="00F27BFE">
              <w:rPr>
                <w:rFonts w:ascii="Arial" w:hAnsi="Arial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AU"/>
              </w:rPr>
              <w:t>I</w:t>
            </w:r>
            <w:r w:rsidRPr="005E6F83">
              <w:rPr>
                <w:rFonts w:ascii="Arial" w:hAnsi="Arial"/>
                <w:sz w:val="18"/>
                <w:szCs w:val="18"/>
                <w:lang w:val="en-AU"/>
              </w:rPr>
              <w:t xml:space="preserve">t does not propose any controls that would affect </w:t>
            </w:r>
            <w:r>
              <w:rPr>
                <w:rFonts w:ascii="Arial" w:hAnsi="Arial"/>
                <w:sz w:val="18"/>
                <w:szCs w:val="18"/>
                <w:lang w:val="en-AU"/>
              </w:rPr>
              <w:t xml:space="preserve">any item within </w:t>
            </w:r>
            <w:r w:rsidRPr="00F27BFE">
              <w:rPr>
                <w:rFonts w:ascii="Arial" w:hAnsi="Arial"/>
                <w:sz w:val="18"/>
                <w:szCs w:val="18"/>
                <w:lang w:val="en-AU"/>
              </w:rPr>
              <w:t>the Heritage Register Schedule.</w:t>
            </w:r>
          </w:p>
          <w:p w:rsidR="007A2EAD" w:rsidRPr="00DD5F9A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AU"/>
              </w:rPr>
            </w:pPr>
            <w:r w:rsidRPr="00CF30ED">
              <w:rPr>
                <w:rFonts w:ascii="Arial" w:hAnsi="Arial"/>
                <w:sz w:val="18"/>
                <w:szCs w:val="18"/>
                <w:lang w:val="en-AU"/>
              </w:rPr>
              <w:t>It is considered the Planning Proposal is consistent with this Direction</w:t>
            </w:r>
            <w:r>
              <w:rPr>
                <w:rFonts w:ascii="Arial" w:hAnsi="Arial"/>
                <w:sz w:val="18"/>
                <w:szCs w:val="18"/>
                <w:lang w:val="en-AU"/>
              </w:rPr>
              <w:t>.</w:t>
            </w:r>
          </w:p>
        </w:tc>
      </w:tr>
      <w:tr w:rsidR="007A2EAD" w:rsidRPr="002E04E8" w:rsidTr="00FD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7A2EAD" w:rsidRPr="002E04E8" w:rsidRDefault="007A2EAD" w:rsidP="002236A5">
            <w:pPr>
              <w:spacing w:after="200" w:line="320" w:lineRule="atLeast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2E04E8"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Housing, Infrastructure and Urban Development </w:t>
            </w:r>
          </w:p>
        </w:tc>
      </w:tr>
      <w:tr w:rsidR="007A2EAD" w:rsidRPr="002E04E8" w:rsidTr="00FD5D3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Pr="002E04E8" w:rsidRDefault="007A2EAD" w:rsidP="002236A5">
            <w:pPr>
              <w:spacing w:after="200" w:line="320" w:lineRule="atLeast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2E04E8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 xml:space="preserve">3.1 Residential zones </w:t>
            </w:r>
          </w:p>
        </w:tc>
        <w:tc>
          <w:tcPr>
            <w:tcW w:w="0" w:type="auto"/>
          </w:tcPr>
          <w:p w:rsidR="007A2EAD" w:rsidRPr="002E04E8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E04E8">
              <w:rPr>
                <w:rFonts w:ascii="Arial" w:hAnsi="Arial" w:cs="Arial"/>
                <w:sz w:val="18"/>
                <w:szCs w:val="18"/>
                <w:lang w:val="en-AU"/>
              </w:rPr>
              <w:t xml:space="preserve">Consistent </w:t>
            </w:r>
          </w:p>
        </w:tc>
        <w:tc>
          <w:tcPr>
            <w:tcW w:w="6484" w:type="dxa"/>
          </w:tcPr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E04E8">
              <w:rPr>
                <w:rFonts w:ascii="Arial" w:hAnsi="Arial" w:cs="Arial"/>
                <w:sz w:val="18"/>
                <w:szCs w:val="18"/>
                <w:lang w:val="en-AU"/>
              </w:rPr>
              <w:t xml:space="preserve">The direction applies when a relevant planning authority prepares a planning proposal that will affect land within any zone in which significant residential development is permitted or proposed to be permitted.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However, </w:t>
            </w:r>
            <w:r w:rsidRPr="00C16578">
              <w:rPr>
                <w:rFonts w:ascii="Arial" w:hAnsi="Arial" w:cs="Arial"/>
                <w:sz w:val="18"/>
                <w:szCs w:val="18"/>
                <w:lang w:val="en-AU"/>
              </w:rPr>
              <w:t>only minor changes.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is proposed in this Planning Proposal. These are:</w:t>
            </w:r>
          </w:p>
          <w:p w:rsidR="007A2EAD" w:rsidRDefault="007A2EAD" w:rsidP="007A2EAD">
            <w:pPr>
              <w:pStyle w:val="ListParagraph"/>
              <w:numPr>
                <w:ilvl w:val="0"/>
                <w:numId w:val="3"/>
              </w:num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F30ED">
              <w:rPr>
                <w:rFonts w:ascii="Arial" w:hAnsi="Arial" w:cs="Arial"/>
                <w:sz w:val="18"/>
                <w:szCs w:val="18"/>
                <w:lang w:val="en-AU"/>
              </w:rPr>
              <w:t xml:space="preserve">In the case of 102-102A the small section of the land was reserved for road widening. This is no longer needed, but as a road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it </w:t>
            </w:r>
            <w:r w:rsidRPr="00CF30ED">
              <w:rPr>
                <w:rFonts w:ascii="Arial" w:hAnsi="Arial" w:cs="Arial"/>
                <w:sz w:val="18"/>
                <w:szCs w:val="18"/>
                <w:lang w:val="en-AU"/>
              </w:rPr>
              <w:t>was zoned for R3 Medium Density Residential and it is now proposed to be zoned IN2 Light Industrial in accordance with its land use.</w:t>
            </w:r>
          </w:p>
          <w:p w:rsidR="009F6062" w:rsidRDefault="009F6062" w:rsidP="003E57AF">
            <w:pPr>
              <w:pStyle w:val="ListParagraph"/>
              <w:numPr>
                <w:ilvl w:val="0"/>
                <w:numId w:val="3"/>
              </w:num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 case of 3 Sunbeam Street the R4 High Density Residential zone is proposed to be extended to the subdivision boundary in order to correlate to current cadastral boundaries.</w:t>
            </w:r>
          </w:p>
          <w:p w:rsidR="007A2EAD" w:rsidRPr="00FC0366" w:rsidRDefault="00CF1224" w:rsidP="00F71798">
            <w:pPr>
              <w:spacing w:after="200" w:line="3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71798">
              <w:rPr>
                <w:rFonts w:ascii="Arial" w:hAnsi="Arial" w:cs="Arial"/>
                <w:sz w:val="18"/>
                <w:szCs w:val="18"/>
                <w:lang w:val="en-AU"/>
              </w:rPr>
              <w:t xml:space="preserve">The planning proposal makes minor adjustments to the residential zones by correcting mapping anomalies identified in the LEP maps. Accordingly, the </w:t>
            </w:r>
            <w:r w:rsidRPr="00F71798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planning proposal is considered to be consistent with this direction.</w:t>
            </w:r>
          </w:p>
        </w:tc>
      </w:tr>
      <w:tr w:rsidR="007A2EAD" w:rsidRPr="002E04E8" w:rsidTr="00FD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Pr="002E04E8" w:rsidRDefault="007A2EAD" w:rsidP="002236A5">
            <w:pPr>
              <w:spacing w:after="200" w:line="320" w:lineRule="atLeast"/>
              <w:ind w:left="284" w:hanging="284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2E04E8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lastRenderedPageBreak/>
              <w:t>3.4 Integrating Land Use and Transport</w:t>
            </w:r>
          </w:p>
        </w:tc>
        <w:tc>
          <w:tcPr>
            <w:tcW w:w="0" w:type="auto"/>
          </w:tcPr>
          <w:p w:rsidR="007A2EAD" w:rsidRPr="002E04E8" w:rsidRDefault="007A2EAD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Neutral</w:t>
            </w:r>
            <w:r w:rsidRPr="002E04E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6484" w:type="dxa"/>
          </w:tcPr>
          <w:p w:rsidR="007A2EAD" w:rsidRPr="002E04E8" w:rsidRDefault="007A2EAD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The Planning Proposal is neutral to</w:t>
            </w:r>
            <w:r w:rsidRPr="00AB13E7">
              <w:rPr>
                <w:rFonts w:ascii="Arial" w:hAnsi="Arial" w:cs="Arial"/>
                <w:sz w:val="18"/>
                <w:szCs w:val="18"/>
                <w:lang w:val="en-AU"/>
              </w:rPr>
              <w:t xml:space="preserve"> access to housing, jobs and services by walking, cycling and public transport by increasing the supply of housing within walking access to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bus routes.</w:t>
            </w:r>
          </w:p>
        </w:tc>
      </w:tr>
      <w:tr w:rsidR="007A2EAD" w:rsidRPr="002E04E8" w:rsidTr="00FD5D3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Pr="002E04E8" w:rsidRDefault="007A2EAD" w:rsidP="002236A5">
            <w:pPr>
              <w:spacing w:after="200" w:line="320" w:lineRule="atLeast"/>
              <w:ind w:left="284" w:hanging="284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6.2 Reserving Land for Public purpose</w:t>
            </w:r>
          </w:p>
        </w:tc>
        <w:tc>
          <w:tcPr>
            <w:tcW w:w="0" w:type="auto"/>
          </w:tcPr>
          <w:p w:rsidR="007A2EAD" w:rsidRPr="002E04E8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Consistent</w:t>
            </w:r>
          </w:p>
        </w:tc>
        <w:tc>
          <w:tcPr>
            <w:tcW w:w="6484" w:type="dxa"/>
          </w:tcPr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The aim of this Direction is to facilitate provision of reserving land for public purposes.</w:t>
            </w: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The Planning Proposal seeks to rectify Land Reservation Map where Council already acquired or is in the process to acquire land for public recreation purposes.</w:t>
            </w:r>
          </w:p>
          <w:p w:rsidR="007A2EAD" w:rsidRDefault="007A2EAD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F39A3">
              <w:rPr>
                <w:rFonts w:ascii="Arial" w:hAnsi="Arial" w:cs="Arial"/>
                <w:sz w:val="18"/>
                <w:szCs w:val="18"/>
                <w:lang w:val="en-AU"/>
              </w:rPr>
              <w:t>It is considered the Planning Proposal is consistent with this Direction.</w:t>
            </w:r>
          </w:p>
        </w:tc>
      </w:tr>
      <w:tr w:rsidR="007A2EAD" w:rsidRPr="002E04E8" w:rsidTr="00FD5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7A2EAD" w:rsidRPr="002E04E8" w:rsidRDefault="007A2EAD" w:rsidP="002236A5">
            <w:pPr>
              <w:spacing w:after="200" w:line="320" w:lineRule="atLeast"/>
              <w:ind w:left="284" w:hanging="284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 xml:space="preserve">7.1 </w:t>
            </w:r>
            <w:r w:rsidRPr="00EC30D4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 xml:space="preserve">Implementation </w:t>
            </w:r>
            <w:r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o</w:t>
            </w:r>
            <w:r w:rsidRPr="00EC30D4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f A Plan for Growing Sydney</w:t>
            </w:r>
          </w:p>
        </w:tc>
        <w:tc>
          <w:tcPr>
            <w:tcW w:w="0" w:type="auto"/>
          </w:tcPr>
          <w:p w:rsidR="007A2EAD" w:rsidRPr="002E04E8" w:rsidRDefault="007A2EAD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Consistent</w:t>
            </w:r>
          </w:p>
        </w:tc>
        <w:tc>
          <w:tcPr>
            <w:tcW w:w="6484" w:type="dxa"/>
          </w:tcPr>
          <w:p w:rsidR="007A2EAD" w:rsidRDefault="007A2EAD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An assessment of the consistency with A Plan for Growing Sydney is part of Section B Clause 3 of this document. </w:t>
            </w:r>
            <w:r w:rsidRPr="00C413B2">
              <w:rPr>
                <w:rFonts w:ascii="Arial" w:hAnsi="Arial" w:cs="Arial"/>
                <w:sz w:val="18"/>
                <w:szCs w:val="18"/>
                <w:lang w:val="en-AU"/>
              </w:rPr>
              <w:t xml:space="preserve">Note that the Planning Proposal is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related to </w:t>
            </w:r>
            <w:r w:rsidRPr="00F71798">
              <w:rPr>
                <w:rFonts w:ascii="Arial" w:hAnsi="Arial" w:cs="Arial"/>
                <w:sz w:val="18"/>
                <w:szCs w:val="18"/>
                <w:lang w:val="en-AU"/>
              </w:rPr>
              <w:t xml:space="preserve">the </w:t>
            </w:r>
            <w:r w:rsidR="002F65D5" w:rsidRPr="00F71798">
              <w:rPr>
                <w:rFonts w:ascii="Arial" w:hAnsi="Arial" w:cs="Arial"/>
                <w:sz w:val="18"/>
                <w:szCs w:val="18"/>
                <w:lang w:val="en-AU"/>
              </w:rPr>
              <w:t xml:space="preserve">former </w:t>
            </w:r>
            <w:r w:rsidRPr="00F71798">
              <w:rPr>
                <w:rFonts w:ascii="Arial" w:hAnsi="Arial" w:cs="Arial"/>
                <w:sz w:val="18"/>
                <w:szCs w:val="18"/>
                <w:lang w:val="en-AU"/>
              </w:rPr>
              <w:t>whole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Canterbury Council area, which is </w:t>
            </w:r>
            <w:r w:rsidRPr="00C413B2">
              <w:rPr>
                <w:rFonts w:ascii="Arial" w:hAnsi="Arial" w:cs="Arial"/>
                <w:sz w:val="18"/>
                <w:szCs w:val="18"/>
                <w:lang w:val="en-AU"/>
              </w:rPr>
              <w:t>located broadly in th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e Bankstown – Sydenham corridor, Inner West – South Line corridor </w:t>
            </w:r>
            <w:r w:rsidRPr="00C413B2">
              <w:rPr>
                <w:rFonts w:ascii="Arial" w:hAnsi="Arial" w:cs="Arial"/>
                <w:sz w:val="18"/>
                <w:szCs w:val="18"/>
                <w:lang w:val="en-AU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the Canterbury Road corridor is listed as a potential future Rapid Transit corridor. The proposed amendments to rectify a number of anomalies, errors, boundary adjustments and discrepancies, in turn, will </w:t>
            </w:r>
            <w:r w:rsidRPr="00C413B2">
              <w:rPr>
                <w:rFonts w:ascii="Arial" w:hAnsi="Arial" w:cs="Arial"/>
                <w:sz w:val="18"/>
                <w:szCs w:val="18"/>
                <w:lang w:val="en-AU"/>
              </w:rPr>
              <w:t xml:space="preserve">benefit directly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the implementation of A Plan for Growing Sydney.</w:t>
            </w:r>
          </w:p>
          <w:p w:rsidR="007A2EAD" w:rsidRDefault="007A2EAD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023A4">
              <w:rPr>
                <w:rFonts w:ascii="Arial" w:hAnsi="Arial" w:cs="Arial"/>
                <w:sz w:val="18"/>
                <w:szCs w:val="18"/>
                <w:lang w:val="en-AU"/>
              </w:rPr>
              <w:t>It is considered the Planning Proposal is consistent with this Direction.</w:t>
            </w:r>
          </w:p>
        </w:tc>
      </w:tr>
    </w:tbl>
    <w:p w:rsidR="002442A9" w:rsidRPr="007A2EAD" w:rsidRDefault="0062539A" w:rsidP="007A2EAD"/>
    <w:sectPr w:rsidR="002442A9" w:rsidRPr="007A2EAD" w:rsidSect="00CC7E15">
      <w:footerReference w:type="default" r:id="rId8"/>
      <w:pgSz w:w="12240" w:h="15840" w:code="1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68" w:rsidRDefault="007A2EAD">
      <w:r>
        <w:separator/>
      </w:r>
    </w:p>
  </w:endnote>
  <w:endnote w:type="continuationSeparator" w:id="0">
    <w:p w:rsidR="00805468" w:rsidRDefault="007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52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24871808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noProof/>
            <w:sz w:val="16"/>
            <w:szCs w:val="16"/>
          </w:rPr>
        </w:sdtEndPr>
        <w:sdtContent>
          <w:p w:rsidR="00A414F0" w:rsidRDefault="00111FB8" w:rsidP="00CC7E15">
            <w:pPr>
              <w:pStyle w:val="Footer"/>
              <w:jc w:val="right"/>
            </w:pPr>
            <w:r w:rsidRPr="00CA7A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A7A11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CA7A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539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CA7A1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68" w:rsidRDefault="007A2EAD">
      <w:r>
        <w:separator/>
      </w:r>
    </w:p>
  </w:footnote>
  <w:footnote w:type="continuationSeparator" w:id="0">
    <w:p w:rsidR="00805468" w:rsidRDefault="007A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0D2"/>
    <w:multiLevelType w:val="hybridMultilevel"/>
    <w:tmpl w:val="BBBC8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381352"/>
    <w:multiLevelType w:val="multilevel"/>
    <w:tmpl w:val="CD74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0437CA3"/>
    <w:multiLevelType w:val="hybridMultilevel"/>
    <w:tmpl w:val="4D9EF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B8"/>
    <w:rsid w:val="00083D33"/>
    <w:rsid w:val="000C5190"/>
    <w:rsid w:val="00111FB8"/>
    <w:rsid w:val="001D4FA5"/>
    <w:rsid w:val="002F65D5"/>
    <w:rsid w:val="003A6C45"/>
    <w:rsid w:val="003E57AF"/>
    <w:rsid w:val="00442C00"/>
    <w:rsid w:val="004A1249"/>
    <w:rsid w:val="0062539A"/>
    <w:rsid w:val="007A2EAD"/>
    <w:rsid w:val="00805468"/>
    <w:rsid w:val="009F6062"/>
    <w:rsid w:val="00B74B7F"/>
    <w:rsid w:val="00BA12E0"/>
    <w:rsid w:val="00CA1C75"/>
    <w:rsid w:val="00CF1224"/>
    <w:rsid w:val="00F71798"/>
    <w:rsid w:val="00F73F0D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1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FB8"/>
  </w:style>
  <w:style w:type="table" w:styleId="LightList-Accent1">
    <w:name w:val="Light List Accent 1"/>
    <w:basedOn w:val="TableNormal"/>
    <w:uiPriority w:val="61"/>
    <w:rsid w:val="00111F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A2EAD"/>
    <w:pPr>
      <w:ind w:left="720"/>
      <w:contextualSpacing/>
    </w:pPr>
  </w:style>
  <w:style w:type="paragraph" w:styleId="NoSpacing">
    <w:name w:val="No Spacing"/>
    <w:uiPriority w:val="1"/>
    <w:qFormat/>
    <w:rsid w:val="009F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List">
    <w:name w:val="Light List"/>
    <w:basedOn w:val="TableNormal"/>
    <w:uiPriority w:val="61"/>
    <w:rsid w:val="00FD5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1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FB8"/>
  </w:style>
  <w:style w:type="table" w:styleId="LightList-Accent1">
    <w:name w:val="Light List Accent 1"/>
    <w:basedOn w:val="TableNormal"/>
    <w:uiPriority w:val="61"/>
    <w:rsid w:val="00111F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A2EAD"/>
    <w:pPr>
      <w:ind w:left="720"/>
      <w:contextualSpacing/>
    </w:pPr>
  </w:style>
  <w:style w:type="paragraph" w:styleId="NoSpacing">
    <w:name w:val="No Spacing"/>
    <w:uiPriority w:val="1"/>
    <w:qFormat/>
    <w:rsid w:val="009F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List">
    <w:name w:val="Light List"/>
    <w:basedOn w:val="TableNormal"/>
    <w:uiPriority w:val="61"/>
    <w:rsid w:val="00FD5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Canterbury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Richardhu</dc:creator>
  <cp:lastModifiedBy>Lisa Ho</cp:lastModifiedBy>
  <cp:revision>2</cp:revision>
  <cp:lastPrinted>2017-06-29T01:11:00Z</cp:lastPrinted>
  <dcterms:created xsi:type="dcterms:W3CDTF">2017-07-03T06:04:00Z</dcterms:created>
  <dcterms:modified xsi:type="dcterms:W3CDTF">2017-07-03T06:04:00Z</dcterms:modified>
</cp:coreProperties>
</file>